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457BCF" w:rsidRDefault="00457BCF" w:rsidP="00457BCF">
      <w:pPr>
        <w:jc w:val="center"/>
      </w:pPr>
      <w:r>
        <w:t>налогового расхода Заневского городского поселения Всеволожского муниципального района Ленинградской области на 202</w:t>
      </w:r>
      <w:r w:rsidR="0073285F">
        <w:t>4</w:t>
      </w:r>
      <w:r>
        <w:t xml:space="preserve"> год</w:t>
      </w:r>
    </w:p>
    <w:p w:rsidR="00457BCF" w:rsidRDefault="00457BCF" w:rsidP="00457BCF">
      <w:pPr>
        <w:jc w:val="center"/>
        <w:rPr>
          <w:u w:val="single"/>
        </w:rPr>
      </w:pPr>
      <w:r>
        <w:rPr>
          <w:u w:val="single"/>
        </w:rPr>
        <w:t>Администрация Заневского городского поселения Всеволожского муниципального района Ленинградской области</w:t>
      </w:r>
    </w:p>
    <w:p w:rsidR="006C6B61" w:rsidRDefault="00457BCF" w:rsidP="00457B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 </w:t>
      </w:r>
      <w:r w:rsidR="006C6B61"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 w:rsidR="006C6B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B61"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73285F" w:rsidP="0073285F">
            <w:pPr>
              <w:spacing w:line="240" w:lineRule="exact"/>
            </w:pPr>
            <w:r w:rsidRPr="0073285F">
              <w:t>Решение совета депутатов Заневского городского поселения Всеволожского муниципального района Ленинградской области от 19.10.2023 № 93 (п.3 пп.</w:t>
            </w:r>
            <w:r>
              <w:t>3</w:t>
            </w:r>
            <w:r w:rsidRPr="0073285F">
              <w:t>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73285F" w:rsidP="00773AF5">
            <w:pPr>
              <w:spacing w:line="240" w:lineRule="exact"/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D56E2">
              <w:rPr>
                <w:sz w:val="22"/>
                <w:szCs w:val="22"/>
              </w:rPr>
              <w:t>Заневского городского поселения Всеволожского</w:t>
            </w:r>
            <w:r>
              <w:rPr>
                <w:sz w:val="22"/>
                <w:szCs w:val="22"/>
              </w:rPr>
              <w:t xml:space="preserve"> </w:t>
            </w:r>
            <w:r w:rsidRPr="00BD56E2">
              <w:rPr>
                <w:sz w:val="22"/>
                <w:szCs w:val="22"/>
              </w:rPr>
              <w:t>муниципального района Ленинградской области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146A15" w:rsidP="00AC7EBB">
            <w:pPr>
              <w:spacing w:line="240" w:lineRule="exact"/>
            </w:pPr>
            <w:r w:rsidRPr="00146A15">
              <w:rPr>
                <w:sz w:val="22"/>
                <w:szCs w:val="22"/>
              </w:rPr>
              <w:t>Органы местного самоуправления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146A15" w:rsidP="0073285F">
            <w:pPr>
              <w:spacing w:line="240" w:lineRule="exact"/>
            </w:pPr>
            <w:r w:rsidRPr="00146A15">
              <w:rPr>
                <w:sz w:val="22"/>
                <w:szCs w:val="22"/>
              </w:rPr>
              <w:t xml:space="preserve">Освобождение от уплаты  налога в отношении земельных участков, находящихся в собственности </w:t>
            </w:r>
            <w:r w:rsidR="0073285F" w:rsidRPr="00BD56E2">
              <w:rPr>
                <w:sz w:val="22"/>
                <w:szCs w:val="22"/>
              </w:rPr>
              <w:t>Заневского городского поселения Всеволожского</w:t>
            </w:r>
            <w:r w:rsidR="0073285F">
              <w:rPr>
                <w:sz w:val="22"/>
                <w:szCs w:val="22"/>
              </w:rPr>
              <w:t xml:space="preserve"> </w:t>
            </w:r>
            <w:r w:rsidR="0073285F" w:rsidRPr="00BD56E2">
              <w:rPr>
                <w:sz w:val="22"/>
                <w:szCs w:val="22"/>
              </w:rPr>
              <w:t>муниципального района Ленинградской области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Техническая</w:t>
            </w:r>
            <w:r w:rsidR="00AC7EBB">
              <w:rPr>
                <w:sz w:val="22"/>
                <w:szCs w:val="22"/>
              </w:rPr>
              <w:t xml:space="preserve">. </w:t>
            </w:r>
            <w:r w:rsidRPr="00146A15">
              <w:t>Оптимизация расходов и исключение встречных финансовых потоков в местный бюджет (уменьшение бюджетного финансирования)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7C0BA4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146A15" w:rsidP="006C6B61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800C7E" w:rsidRDefault="006C6B61" w:rsidP="00773AF5">
            <w:pPr>
              <w:spacing w:line="240" w:lineRule="exact"/>
            </w:pPr>
            <w:proofErr w:type="gramStart"/>
            <w:r w:rsidRPr="00800C7E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800C7E" w:rsidRDefault="00B77F01" w:rsidP="0073285F">
            <w:pPr>
              <w:spacing w:line="240" w:lineRule="exact"/>
            </w:pPr>
            <w:r>
              <w:rPr>
                <w:sz w:val="22"/>
                <w:szCs w:val="22"/>
              </w:rPr>
              <w:t>2</w:t>
            </w:r>
            <w:r w:rsidR="0073285F">
              <w:rPr>
                <w:sz w:val="22"/>
                <w:szCs w:val="22"/>
              </w:rPr>
              <w:t>80</w:t>
            </w:r>
            <w:bookmarkStart w:id="2" w:name="_GoBack"/>
            <w:bookmarkEnd w:id="2"/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806B86" w:rsidRDefault="00806B86" w:rsidP="00806B86">
            <w:pPr>
              <w:spacing w:line="240" w:lineRule="exact"/>
              <w:rPr>
                <w:b/>
              </w:rPr>
            </w:pPr>
            <w:r w:rsidRPr="00806B86">
              <w:rPr>
                <w:sz w:val="22"/>
                <w:szCs w:val="22"/>
              </w:rPr>
              <w:t>Налоговый расход целесообразен</w:t>
            </w:r>
            <w:r>
              <w:rPr>
                <w:sz w:val="22"/>
                <w:szCs w:val="22"/>
              </w:rPr>
              <w:t>, но в анализируемый период не востребован</w:t>
            </w:r>
            <w:r w:rsidRPr="00806B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Предусмотрен в целях </w:t>
            </w:r>
            <w:r>
              <w:t>о</w:t>
            </w:r>
            <w:r w:rsidRPr="00146A15">
              <w:t>птимизаци</w:t>
            </w:r>
            <w:r>
              <w:t>и</w:t>
            </w:r>
            <w:r w:rsidRPr="00146A15">
              <w:t xml:space="preserve"> расходов и исключени</w:t>
            </w:r>
            <w:r>
              <w:t>я</w:t>
            </w:r>
            <w:r w:rsidRPr="00146A15">
              <w:t xml:space="preserve"> встречных финансовых потоков в местный бюджет (уменьшение бюджетного финансирования)</w:t>
            </w:r>
            <w:r>
              <w:t>.</w:t>
            </w:r>
            <w:proofErr w:type="gramEnd"/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D0" w:rsidRDefault="001E1ED0">
      <w:r>
        <w:separator/>
      </w:r>
    </w:p>
  </w:endnote>
  <w:endnote w:type="continuationSeparator" w:id="0">
    <w:p w:rsidR="001E1ED0" w:rsidRDefault="001E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D0" w:rsidRDefault="001E1ED0">
      <w:r>
        <w:separator/>
      </w:r>
    </w:p>
  </w:footnote>
  <w:footnote w:type="continuationSeparator" w:id="0">
    <w:p w:rsidR="001E1ED0" w:rsidRDefault="001E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31940"/>
    <w:rsid w:val="00081B39"/>
    <w:rsid w:val="000A67E5"/>
    <w:rsid w:val="00146A15"/>
    <w:rsid w:val="00146FF5"/>
    <w:rsid w:val="001E1ED0"/>
    <w:rsid w:val="00202FFD"/>
    <w:rsid w:val="0023160D"/>
    <w:rsid w:val="00241537"/>
    <w:rsid w:val="0039414D"/>
    <w:rsid w:val="00444EB6"/>
    <w:rsid w:val="00457BCF"/>
    <w:rsid w:val="00583D14"/>
    <w:rsid w:val="005B515C"/>
    <w:rsid w:val="00671B30"/>
    <w:rsid w:val="006C6B61"/>
    <w:rsid w:val="0073285F"/>
    <w:rsid w:val="007C0BA4"/>
    <w:rsid w:val="00800C7E"/>
    <w:rsid w:val="00806B86"/>
    <w:rsid w:val="00941730"/>
    <w:rsid w:val="009E4C1A"/>
    <w:rsid w:val="00AC7EBB"/>
    <w:rsid w:val="00B77F01"/>
    <w:rsid w:val="00CA2091"/>
    <w:rsid w:val="00CD4CFB"/>
    <w:rsid w:val="00DD3844"/>
    <w:rsid w:val="00F64A6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2021-09-30T08:33:00Z</dcterms:created>
  <dcterms:modified xsi:type="dcterms:W3CDTF">2024-08-23T12:40:00Z</dcterms:modified>
</cp:coreProperties>
</file>