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714"/>
        <w:numPr>
          <w:ilvl w:val="0"/>
          <w:numId w:val="11"/>
        </w:numPr>
        <w:jc w:val="center"/>
        <w:spacing w:before="240" w:after="240"/>
        <w:rPr>
          <w:b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30"/>
          <w:szCs w:val="30"/>
        </w:rPr>
        <w:t xml:space="preserve">Всероссийский конкурс «Молодой предприниматель России»</w:t>
      </w:r>
      <w:r>
        <w:rPr>
          <w:b/>
          <w:sz w:val="30"/>
          <w:szCs w:val="30"/>
        </w:rPr>
      </w:r>
    </w:p>
    <w:p>
      <w:pPr>
        <w:ind w:left="57"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Описание проекта</w:t>
      </w:r>
      <w:r>
        <w:rPr>
          <w:rFonts w:ascii="Times New Roman" w:hAnsi="Times New Roman" w:cs="Times New Roman"/>
          <w:sz w:val="30"/>
          <w:szCs w:val="30"/>
        </w:rPr>
        <w:t xml:space="preserve"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Конкурс реализуется в рамках Всероссийской программы по развитию молодежного предпринимательства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в соответствии с п. 20 Плана мероприятий по реализации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от 14 декабря 2021 г. № 3581-р (в редакции распоряжения Правительства Российской Федерации от 17 января 2024 г. № 45-р).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8"/>
        <w:jc w:val="both"/>
        <w:spacing w:after="0" w:line="360" w:lineRule="exact"/>
        <w:widowControl w:val="off"/>
        <w:rPr>
          <w:rFonts w:ascii="Times New Roman" w:hAnsi="Times New Roman" w:eastAsia="Calibri" w:cs="Times New Roman"/>
          <w:sz w:val="30"/>
          <w:szCs w:val="30"/>
          <w:lang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Calibri" w:cs="Times New Roman"/>
          <w:b/>
          <w:sz w:val="30"/>
          <w:szCs w:val="30"/>
          <w:lang w:eastAsia="ru-RU"/>
        </w:rPr>
        <w:t xml:space="preserve">Цель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– выявление и тиражирование 180 успешных бизнес-практик молодых предпринимателей (в том числе 60 бизнес-идей),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а также популяризация предпринимательства на примере действующих субъектов молодежного предпринимательства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 повышения уровня ее вовлеченности в ключевые проекты трека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Росмолодежь.Бизнес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pStyle w:val="714"/>
        <w:ind w:left="709"/>
        <w:jc w:val="both"/>
        <w:spacing w:line="360" w:lineRule="exact"/>
        <w:rPr>
          <w:rFonts w:eastAsia="Calibri"/>
          <w:b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30"/>
          <w:szCs w:val="30"/>
        </w:rPr>
        <w:t xml:space="preserve">Задачи: </w:t>
      </w:r>
      <w:r>
        <w:rPr>
          <w:rFonts w:eastAsia="Calibri"/>
          <w:b/>
          <w:sz w:val="30"/>
          <w:szCs w:val="30"/>
        </w:rPr>
      </w:r>
    </w:p>
    <w:p>
      <w:pPr>
        <w:pStyle w:val="714"/>
        <w:numPr>
          <w:ilvl w:val="0"/>
          <w:numId w:val="8"/>
        </w:numPr>
        <w:ind w:left="0" w:firstLine="709"/>
        <w:jc w:val="both"/>
        <w:spacing w:line="360" w:lineRule="exact"/>
        <w:rPr>
          <w:rFonts w:eastAsia="Calibri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sz w:val="30"/>
          <w:szCs w:val="30"/>
        </w:rPr>
        <w:t xml:space="preserve">экспертное сопровождение участников;</w:t>
      </w:r>
      <w:r>
        <w:rPr>
          <w:rFonts w:eastAsia="Calibri"/>
          <w:sz w:val="30"/>
          <w:szCs w:val="30"/>
        </w:rPr>
      </w:r>
    </w:p>
    <w:p>
      <w:pPr>
        <w:pStyle w:val="714"/>
        <w:numPr>
          <w:ilvl w:val="0"/>
          <w:numId w:val="8"/>
        </w:numPr>
        <w:ind w:left="0" w:firstLine="709"/>
        <w:jc w:val="both"/>
        <w:spacing w:line="360" w:lineRule="exact"/>
        <w:rPr>
          <w:rFonts w:eastAsia="Calibri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sz w:val="30"/>
          <w:szCs w:val="30"/>
        </w:rPr>
        <w:t xml:space="preserve">формирование интереса молодежи к предпринимательской деятельности;</w:t>
      </w:r>
      <w:r>
        <w:rPr>
          <w:rFonts w:eastAsia="Calibri"/>
          <w:sz w:val="30"/>
          <w:szCs w:val="30"/>
        </w:rPr>
      </w:r>
    </w:p>
    <w:p>
      <w:pPr>
        <w:pStyle w:val="714"/>
        <w:numPr>
          <w:ilvl w:val="0"/>
          <w:numId w:val="8"/>
        </w:numPr>
        <w:ind w:left="0" w:firstLine="709"/>
        <w:jc w:val="both"/>
        <w:spacing w:line="360" w:lineRule="exact"/>
        <w:rPr>
          <w:rFonts w:eastAsia="Calibri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sz w:val="30"/>
          <w:szCs w:val="30"/>
        </w:rPr>
        <w:t xml:space="preserve">выявление лучших бизнес-кейсов среди молодежи;</w:t>
      </w:r>
      <w:r>
        <w:rPr>
          <w:rFonts w:eastAsia="Calibri"/>
          <w:sz w:val="30"/>
          <w:szCs w:val="30"/>
        </w:rPr>
      </w:r>
    </w:p>
    <w:p>
      <w:pPr>
        <w:pStyle w:val="714"/>
        <w:numPr>
          <w:ilvl w:val="0"/>
          <w:numId w:val="8"/>
        </w:numPr>
        <w:ind w:left="0" w:firstLine="709"/>
        <w:jc w:val="both"/>
        <w:spacing w:line="360" w:lineRule="exact"/>
        <w:rPr>
          <w:rFonts w:eastAsia="Calibri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sz w:val="30"/>
          <w:szCs w:val="30"/>
        </w:rPr>
        <w:t xml:space="preserve">тиражирование лучших региональных практик </w:t>
      </w:r>
      <w:r>
        <w:rPr>
          <w:rFonts w:eastAsia="Calibri"/>
          <w:sz w:val="30"/>
          <w:szCs w:val="30"/>
        </w:rPr>
        <w:br/>
      </w:r>
      <w:r>
        <w:rPr>
          <w:rFonts w:eastAsia="Calibri"/>
          <w:sz w:val="30"/>
          <w:szCs w:val="30"/>
        </w:rPr>
        <w:t xml:space="preserve">по двенадцати направлениям конкурса.</w:t>
      </w:r>
      <w:r>
        <w:rPr>
          <w:rFonts w:eastAsia="Calibri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b/>
          <w:sz w:val="30"/>
          <w:szCs w:val="30"/>
          <w:lang w:eastAsia="ru-RU"/>
        </w:rPr>
        <w:t xml:space="preserve">Конкурс проводится в несколько этапов по трем лигам:</w:t>
      </w:r>
      <w:r>
        <w:rPr>
          <w:rFonts w:ascii="Times New Roman" w:hAnsi="Times New Roman" w:eastAsia="Calibri" w:cs="Times New Roman"/>
          <w:b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«Молодёжь с идеями»: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Участниками в данной лиге может стать молодежь, заинтересованная в осуществлении предпринимательской деятельности, подавшая заявку на участие в Конкурсе. Потенциал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ьный участник должен соответствовать следующим критериям: являться обучающимся общеобразовательных организаций, профессиональных образовательных организаций, образовательных организаций высшего образования, желающим начать предпринимательскую деятельность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на территории Российской Федерации или являться физическим лицом, желающим начать предпринимательскую деятельность на территории Российской Федерации.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«Начинающий предприниматель»: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Участниками в данной лиге может стать молодежь, осуществляющая предпринимательскую деятельность от 1 года до 3 лет.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Потенциальный участник должен соответствовать следующим критериям: должен быть зарегистрирован в Едином реестре субъектов малого и среднего предпринимательства (rmsp.nalog.ru),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  <w:t xml:space="preserve">что подтверждается Сведениями из Единого реестра субъектов малого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 среднего предпринимательства, должен соответствовать определению малого и среднего предприятия по Федеральному закону от 24 июля 2007 г.№ 209-ФЗ «О развитии малого и среднего предпринимательства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в Российской Федерации», иметь подтвержденный Выпиской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из Единого государственного реестра индивидуальных предпринимателей опыт ведения бизнеса от 1 года до 3 лет, являться учредителем/акционером юридического лица, зарегистрированного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в установленном законодательством Российской Федерации порядке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от 1 года до 3 лет.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«Продвинутый предприниматель»: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Участниками в данной лиге может стать молодежь, осуществляющая предпринимательскую деятельность от 3 до 5 лет.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Потенциальный участник должен соответствовать следующим критериям: быть зарегистрирован в Едином реестре субъектов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  <w:t xml:space="preserve">малого и среднего предпринимательства (rmsp.nalog.ru),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  <w:t xml:space="preserve">что подтверждается Сведениями из Единого реестра субъектов малого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 среднего предпринимательства, должен соответствовать определению малого и среднего предприятия по Федеральному закону от 24 июля 2007 г. № 209-ФЗ «О развитии малого и среднего предпринимательства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в Российской Федерации», иметь подтвержденный Выпиской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из Единого государственного реестра индивидуальных предпринимателей опыт ведения бизнеса от 3 до 5 лет, являться учредителем/акционером юридического лица, зарегистрированного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в установленном законодательством Российской Федерации порядке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от 3 до 5 лет.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b/>
          <w:sz w:val="30"/>
          <w:szCs w:val="30"/>
          <w:lang w:eastAsia="ru-RU"/>
        </w:rPr>
        <w:t xml:space="preserve">Количество участников по лигам:</w:t>
      </w:r>
      <w:r>
        <w:rPr>
          <w:rFonts w:ascii="Times New Roman" w:hAnsi="Times New Roman" w:eastAsia="Calibri" w:cs="Times New Roman"/>
          <w:b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Лига «Молодежь с идеями»: 7 тыс. человек.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Лиги «Начинающий предприниматель» и «Продвинутый предприниматель»: 3 тыс. человек.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Для каждой из лиг предусмотрены следующие номинации: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«Социальный бизнес»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: проекты участников должны касаться социальной сферы, направленной на достижение общественно полезных целей, способствовать решению социальных проблем граждан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 общества, либо обеспечивать занятость социально уязвимых категорий граждан.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Инновационно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технологическое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предпринимательство»: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связаны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  <w:t xml:space="preserve">с созданием и коммерческим использованием технических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  <w:t xml:space="preserve">или технологических нововведений в области производства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или оказания услуг, или деятельность которых позволит создать новый рынок или удовлетворить новые потребности.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«Классическое предпринимательство»: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относиться к категории малого и среднего бизнеса, осуществляющие деятельность на территории Российской Федерации.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«Международный 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международное сотрудничество.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«Креативный 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связаны со средствами массовой информации и коммуникации,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а также со сферой креативных индустрий.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«Производство»: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производство продукции и последующий ее сбыт.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«Агробизнес»: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деятельность в сфере сельского хозяйства.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«Семейный 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создание организаций, которые управляются членами одной семьи, в которых ключевые решения и основную деятельность осуществляют члены одной семьи.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«Экологическое предпринимательство»: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сферу охраны, сохранения, восстановления окружающей среды и природных ресурсов.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«Женский 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быть созданы женщинами, желающими начать свою предпринимательскую деятельность и предоставлять возможность для профессионального роста женщин, поддерживать их лидерство и развитие карьеры внутри проекта вне зависимости от отраслевой принадлежности проекта.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«Транспортный бизнес»: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железнодорожные, автомобильные перевозки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и логистику, а также любые виды автобизнеса.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Номинация «#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БизнесМыВместе</w:t>
      </w:r>
      <w:r>
        <w:rPr>
          <w:rFonts w:ascii="Times New Roman" w:hAnsi="Times New Roman" w:eastAsia="Calibri" w:cs="Times New Roman"/>
          <w:i/>
          <w:sz w:val="30"/>
          <w:szCs w:val="30"/>
          <w:lang w:eastAsia="ru-RU"/>
        </w:rPr>
        <w:t xml:space="preserve">»: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проекты участников должны быть направлены на осуществление деятельности на территории Д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НР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,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ЛНР, Запорожской или Херсонской области вне зависимости 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br/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  <w:t xml:space="preserve">от отраслевой принадлежности организации или индивидуального предпринимателя.</w:t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Calibri" w:cs="Times New Roman"/>
          <w:sz w:val="30"/>
          <w:szCs w:val="30"/>
          <w:lang w:eastAsia="ru-RU"/>
        </w:rPr>
      </w:pP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  <w:r>
        <w:rPr>
          <w:rFonts w:ascii="Times New Roman" w:hAnsi="Times New Roman" w:eastAsia="Calibri" w:cs="Times New Roman"/>
          <w:sz w:val="30"/>
          <w:szCs w:val="30"/>
          <w:lang w:eastAsia="ru-RU"/>
        </w:rPr>
      </w:r>
    </w:p>
    <w:p>
      <w:pPr>
        <w:jc w:val="both"/>
        <w:spacing w:line="360" w:lineRule="exact"/>
        <w:shd w:val="clear" w:color="auto" w:fill="ffffff"/>
        <w:rPr>
          <w:rFonts w:ascii="Times New Roman" w:hAnsi="Times New Roman" w:cs="Times New Roman"/>
          <w:b/>
          <w:color w:val="00000a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a"/>
          <w:sz w:val="30"/>
          <w:szCs w:val="30"/>
        </w:rPr>
        <w:t xml:space="preserve">Конкурс имеет следующие этапы и сроки реализации для каждой </w:t>
      </w:r>
      <w:r>
        <w:rPr>
          <w:rFonts w:ascii="Times New Roman" w:hAnsi="Times New Roman" w:eastAsia="Times New Roman" w:cs="Times New Roman"/>
          <w:b/>
          <w:color w:val="00000a"/>
          <w:sz w:val="30"/>
          <w:szCs w:val="30"/>
        </w:rPr>
        <w:br/>
      </w:r>
      <w:r>
        <w:rPr>
          <w:rFonts w:ascii="Times New Roman" w:hAnsi="Times New Roman" w:eastAsia="Times New Roman" w:cs="Times New Roman"/>
          <w:b/>
          <w:color w:val="00000a"/>
          <w:sz w:val="30"/>
          <w:szCs w:val="30"/>
        </w:rPr>
        <w:t xml:space="preserve">из лиг:</w:t>
      </w:r>
      <w:r>
        <w:rPr>
          <w:rFonts w:ascii="Times New Roman" w:hAnsi="Times New Roman" w:cs="Times New Roman"/>
          <w:b/>
          <w:color w:val="00000a"/>
          <w:sz w:val="30"/>
          <w:szCs w:val="30"/>
        </w:rPr>
      </w:r>
    </w:p>
    <w:tbl>
      <w:tblPr>
        <w:tblW w:w="9868" w:type="dxa"/>
        <w:tblInd w:w="-4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3396"/>
        <w:gridCol w:w="6472"/>
      </w:tblGrid>
      <w:tr>
        <w:trPr>
          <w:trHeight w:val="249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Этап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Сроки реализации этапа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37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Регистрационный этап 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1 августа – 8 сентября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35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Отборочный этап 1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9 сентября – 22 сентября</w:t>
            </w:r>
            <w:r>
              <w:rPr>
                <w:rFonts w:ascii="Arial" w:hAnsi="Arial" w:eastAsia="Arial" w:cs="Arial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113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Отборочный этап 2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23 с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ентябр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ктябрь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11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Полуфинал 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11 октября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5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оября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9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Финал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6 н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оябрь –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22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оября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419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Супер-Финал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 ноября</w:t>
            </w: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  <w:tr>
        <w:trPr>
          <w:trHeight w:val="419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9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Торжественная церемония награждения победителей и призеров Конкурса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64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30"/>
                <w:szCs w:val="30"/>
              </w:rPr>
              <w:t xml:space="preserve">30 ноября</w:t>
            </w:r>
            <w:r>
              <w:rPr>
                <w:rFonts w:ascii="Times New Roman" w:hAnsi="Times New Roman" w:cs="Times New Roman"/>
                <w:color w:val="00000a"/>
                <w:sz w:val="30"/>
                <w:szCs w:val="30"/>
              </w:rPr>
            </w:r>
          </w:p>
        </w:tc>
      </w:tr>
    </w:tbl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b/>
          <w:sz w:val="30"/>
          <w:szCs w:val="30"/>
        </w:rPr>
      </w:pPr>
      <w:r>
        <w:rPr>
          <w:rFonts w:ascii="Times New Roman" w:hAnsi="Times New Roman" w:eastAsia="Times New Roman" w:cs="Times New Roman"/>
          <w:b/>
          <w:sz w:val="30"/>
          <w:szCs w:val="30"/>
        </w:rPr>
      </w:r>
      <w:r>
        <w:rPr>
          <w:rFonts w:ascii="Times New Roman" w:hAnsi="Times New Roman" w:eastAsia="Times New Roman" w:cs="Times New Roman"/>
          <w:b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Times New Roman" w:hAnsi="Times New Roman" w:eastAsia="Times New Roman" w:cs="Times New Roman"/>
          <w:b/>
          <w:sz w:val="30"/>
          <w:szCs w:val="30"/>
        </w:rPr>
        <w:t xml:space="preserve">Механика этапов Конкурса: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</w:r>
    </w:p>
    <w:p>
      <w:pPr>
        <w:pStyle w:val="714"/>
        <w:numPr>
          <w:ilvl w:val="0"/>
          <w:numId w:val="9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Регистрационный этап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регистрационного этапа участник создает личный кабинет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ИС «ИТ-Платформа», выбирает подходящую для себя по критериям лигу и номинацию Конкурса. Если участник соответствует требованиям, заявленным в анкете, то он переходит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в Отборочный этап 1.</w:t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Отборочный этап 1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данного этапа участник должен пройти тестовое задание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личном кабинете в ИС «ИТ-Платформа», а также выполнить дополнительное задание – размещение видео-визитки. Если участник набрал необходимое количество баллов за выполнение заданий, то он переходит в Отборочный этап 2.</w:t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Отборочный этап 2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данного этапа участник должен пройти тестовое задание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личном кабинете в ИС «ИТ-Платформа», познакомиться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 экспертами из числа Экспертного совета, написать эссе по теме предпринимательства и ведения бизнеса в России, посетить региональное меропр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30"/>
          <w:szCs w:val="30"/>
        </w:rPr>
        <w:t xml:space="preserve">иятие в онлайн/офлайн формате.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Региональное мероприятие проходит в 89 субъектах Российской Федерации.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На мероприятии запланирована презентация бизнес-практик участников.  В каждом субъекте должно пройти не менее 1 (одного) мероприятия в очном формате с возможностью онлайн подключения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с участниками Конкурса по двум лигам и их номинациям (в случае отсутствия в одном из регионов Российской Федерации участников,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данном регионе мероприятие не проводится). На мероприятии необходимо присутствии представителя Комитета по делам молодежи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из региона проведения мероприятия.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Если участник набрал необходимое количество баллов за выполнение заданий, то он переходит в Полуфинал.</w:t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Полуфинал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данного этапа участник должен пройти тестовое задание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личном кабинете в ИС «ИТ-Платформа»,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Cs/>
          <w:sz w:val="30"/>
          <w:szCs w:val="30"/>
        </w:rPr>
        <w:t xml:space="preserve">пройти обучающий модуль </w:t>
      </w:r>
      <w:r>
        <w:rPr>
          <w:rFonts w:ascii="Times New Roman" w:hAnsi="Times New Roman" w:eastAsia="Times New Roman" w:cs="Times New Roman"/>
          <w:bCs/>
          <w:sz w:val="30"/>
          <w:szCs w:val="30"/>
        </w:rPr>
        <w:t xml:space="preserve">от организаций, являющихся партнерами конкурса </w:t>
      </w:r>
      <w:r>
        <w:rPr>
          <w:rFonts w:ascii="Times New Roman" w:hAnsi="Times New Roman" w:eastAsia="Times New Roman" w:cs="Times New Roman"/>
          <w:bCs/>
          <w:sz w:val="30"/>
          <w:szCs w:val="30"/>
        </w:rPr>
        <w:t xml:space="preserve">и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выполнить задания соответствующей номинации,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посетить очное мероприятие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(ил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и подключиться онлайн) в одном из 8 федеральных округов Российской Федерации и сделать презентацию по завершении очного мероприятия (дополнительное задание). Если участник набрал необходимое количество баллов за выполнение заданий, то он переходит в Финал.</w:t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Финал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данного этапа участник должен пройти тестовое задание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личном кабинете в ИС «ИТ-Платформа»,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Cs/>
          <w:sz w:val="30"/>
          <w:szCs w:val="30"/>
        </w:rPr>
        <w:t xml:space="preserve">пройти обучающий модуль от организаций, являющихся партнерами конкурса и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выполнить задания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соответствующей номинации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принять участие в знакомстве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 наставниками в чатах по выбранной номинации, посетить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питчинг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-сессию по разбору защиты проектов в онлайн-формате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 экспертом из числа Экспертного совета. Если участник набрал необходимое количество баллов за выполнение заданий, то он переходит в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Супер-финал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</w:t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Style w:val="714"/>
        <w:ind w:left="709"/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  <w:r>
        <w:rPr>
          <w:b/>
          <w:bCs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Супер-финал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В ходе данного этапа планируется проведение очной защиты проектов участников перед экспертами из числа Э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кспертного совета </w:t>
      </w:r>
      <w:r>
        <w:rPr>
          <w:rFonts w:ascii="Times New Roman" w:hAnsi="Times New Roman" w:eastAsia="Times New Roman" w:cs="Times New Roman"/>
          <w:sz w:val="30"/>
          <w:szCs w:val="30"/>
        </w:rPr>
        <w:br/>
        <w:t xml:space="preserve">в г. Москве. Транспортное обеспечение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участников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до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места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проведения мероприятия осуществляет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треком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Росмолодежь.Бизнес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Победителями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и призерами Конкурса становятся участники, набравшие наибольшее количество баллов в ходе выполнения всех конкурсных заданий.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</w:r>
    </w:p>
    <w:p>
      <w:pPr>
        <w:pStyle w:val="714"/>
        <w:numPr>
          <w:ilvl w:val="0"/>
          <w:numId w:val="10"/>
        </w:numPr>
        <w:jc w:val="both"/>
        <w:spacing w:line="36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Торжественная церемония награждения</w:t>
      </w:r>
      <w:r>
        <w:rPr>
          <w:b/>
          <w:bCs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Церемония награждения пройдет в г. Москве на финальном мероприятии трека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Росмолодежь.Бизнес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. В рамках Конкурса будет выбрано 36 победителей и 72 призера по трем лигам. В рамках церемонии награждения также пройдет награждения участников </w:t>
      </w:r>
      <w:r>
        <w:rPr>
          <w:rFonts w:ascii="Times New Roman" w:hAnsi="Times New Roman" w:eastAsia="Times New Roman" w:cs="Times New Roman"/>
          <w:sz w:val="30"/>
          <w:szCs w:val="30"/>
        </w:rPr>
        <w:br/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Супер-финала специаль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ной премией «Молодежь выбирает», где путем народного голосования среди 36 победителей Конкурса молодежные столицы России выберут своего победителя. Ключевой особенностью церемонии награждения 2024 года станет награждение национальной премией «Молодой предп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риниматель года» – самое масштабное событие 2024 года в молодёжной предпринимательской среде. Участниками национальной премии «Молодой предприниматель года» становятся победители предпринимательских конкурсов, прошедших в течение 2024 года по всей России. 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color w:val="000000" w:themeColor="text1"/>
          <w:sz w:val="30"/>
          <w:szCs w:val="3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Официальный сай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т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 IT платформ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ы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 «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Росмолодежь.Бизнес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»:</w:t>
      </w:r>
      <w:r>
        <w:rPr>
          <w:rFonts w:ascii="Times New Roman" w:hAnsi="Times New Roman" w:eastAsia="Calibri" w:cs="Times New Roman"/>
          <w:b/>
          <w:color w:val="000000"/>
          <w:sz w:val="30"/>
          <w:szCs w:val="30"/>
        </w:rPr>
        <w:t xml:space="preserve"> </w:t>
      </w:r>
      <w:hyperlink r:id="rId10" w:tooltip="https://rosmolbusiness.ru/events/d7e71bc1-1f74-48a7-9fea-443fbcd34104" w:history="1">
        <w:r>
          <w:rPr>
            <w:rStyle w:val="717"/>
            <w:rFonts w:ascii="Times New Roman" w:hAnsi="Times New Roman" w:eastAsia="Calibri" w:cs="Times New Roman"/>
            <w:sz w:val="30"/>
            <w:szCs w:val="30"/>
          </w:rPr>
          <w:t xml:space="preserve">https://rosmolbusiness.ru/events/d7e71bc1-1f74-48a7-9fea-443fbcd34104</w:t>
        </w:r>
      </w:hyperlink>
      <w:r>
        <w:rPr>
          <w:rFonts w:ascii="Times New Roman" w:hAnsi="Times New Roman" w:eastAsia="Calibri" w:cs="Times New Roman"/>
          <w:color w:val="000000"/>
          <w:sz w:val="30"/>
          <w:szCs w:val="30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color w:val="00000a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a"/>
          <w:sz w:val="30"/>
          <w:szCs w:val="30"/>
        </w:rPr>
        <w:t xml:space="preserve">Период проведения:</w:t>
      </w:r>
      <w:r>
        <w:rPr>
          <w:rFonts w:ascii="Times New Roman" w:hAnsi="Times New Roman" w:eastAsia="Times New Roman" w:cs="Times New Roman"/>
          <w:color w:val="00000a"/>
          <w:sz w:val="30"/>
          <w:szCs w:val="30"/>
        </w:rPr>
        <w:t xml:space="preserve"> июль – ноябрь 2024 года. </w:t>
      </w:r>
      <w:r>
        <w:rPr>
          <w:rFonts w:ascii="Times New Roman" w:hAnsi="Times New Roman" w:cs="Times New Roman"/>
          <w:color w:val="00000a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cs="Times New Roman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/>
          <w:color w:val="00000a"/>
          <w:sz w:val="30"/>
          <w:szCs w:val="30"/>
        </w:rPr>
        <w:t xml:space="preserve">Регионы проведения:</w:t>
      </w:r>
      <w:r>
        <w:rPr>
          <w:rFonts w:ascii="Times New Roman" w:hAnsi="Times New Roman" w:eastAsia="Calibri" w:cs="Times New Roman"/>
          <w:color w:val="00000a"/>
          <w:sz w:val="30"/>
          <w:szCs w:val="30"/>
        </w:rPr>
        <w:t xml:space="preserve"> 89 регионов Российской Федерации</w:t>
      </w:r>
      <w:r>
        <w:rPr>
          <w:rFonts w:ascii="Times New Roman" w:hAnsi="Times New Roman" w:eastAsia="Calibri" w:cs="Times New Roman"/>
          <w:color w:val="00000a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rFonts w:ascii="Times New Roman" w:hAnsi="Times New Roman" w:eastAsia="Times New Roman" w:cs="Times New Roman"/>
          <w:color w:val="00000a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color w:val="00000a"/>
          <w:sz w:val="30"/>
          <w:szCs w:val="30"/>
        </w:rPr>
        <w:t xml:space="preserve">Формат: </w:t>
      </w:r>
      <w:r>
        <w:rPr>
          <w:rFonts w:ascii="Times New Roman" w:hAnsi="Times New Roman" w:eastAsia="Times New Roman" w:cs="Times New Roman"/>
          <w:color w:val="00000a"/>
          <w:sz w:val="30"/>
          <w:szCs w:val="30"/>
        </w:rPr>
        <w:t xml:space="preserve">гибридный формат.</w:t>
      </w:r>
      <w:r>
        <w:rPr>
          <w:rFonts w:ascii="Times New Roman" w:hAnsi="Times New Roman" w:eastAsia="Times New Roman" w:cs="Times New Roman"/>
          <w:color w:val="00000a"/>
          <w:sz w:val="30"/>
          <w:szCs w:val="30"/>
        </w:rPr>
      </w:r>
    </w:p>
    <w:p>
      <w:pPr>
        <w:ind w:firstLine="709"/>
        <w:jc w:val="both"/>
        <w:spacing w:after="0" w:line="360" w:lineRule="exact"/>
        <w:rPr>
          <w:b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Регистрация на проект до </w:t>
      </w: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8</w:t>
      </w: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сентября</w:t>
      </w:r>
      <w:r>
        <w:rPr>
          <w:rFonts w:ascii="Times New Roman" w:hAnsi="Times New Roman" w:eastAsia="Times New Roman" w:cs="Times New Roman"/>
          <w:b/>
          <w:color w:val="000000"/>
          <w:sz w:val="30"/>
          <w:szCs w:val="30"/>
        </w:rPr>
        <w:t xml:space="preserve"> 2024 года:</w:t>
      </w:r>
      <w:r>
        <w:rPr>
          <w:b/>
          <w:sz w:val="30"/>
          <w:szCs w:val="30"/>
        </w:rPr>
      </w:r>
    </w:p>
    <w:p>
      <w:pPr>
        <w:pStyle w:val="714"/>
        <w:numPr>
          <w:ilvl w:val="0"/>
          <w:numId w:val="7"/>
        </w:numPr>
        <w:ind w:left="0" w:firstLine="709"/>
        <w:jc w:val="both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Лига «</w:t>
      </w:r>
      <w:r>
        <w:rPr>
          <w:sz w:val="30"/>
          <w:szCs w:val="30"/>
        </w:rPr>
        <w:t xml:space="preserve">Молодёжь с идеями</w:t>
      </w:r>
      <w:r>
        <w:rPr>
          <w:sz w:val="30"/>
          <w:szCs w:val="30"/>
        </w:rPr>
        <w:t xml:space="preserve">»</w:t>
      </w:r>
      <w:r>
        <w:rPr>
          <w:sz w:val="30"/>
          <w:szCs w:val="30"/>
        </w:rPr>
        <w:t xml:space="preserve">:</w:t>
      </w:r>
      <w:r>
        <w:rPr>
          <w:sz w:val="30"/>
          <w:szCs w:val="30"/>
        </w:rPr>
        <w:t xml:space="preserve"> </w:t>
      </w:r>
      <w:hyperlink r:id="rId11" w:tooltip="https://rosmolbusiness.ru/contests/35868eb9-036d-4c8d-bb57-4bf19447695c" w:history="1">
        <w:r>
          <w:rPr>
            <w:rStyle w:val="717"/>
            <w:sz w:val="30"/>
            <w:szCs w:val="30"/>
          </w:rPr>
          <w:t xml:space="preserve">https://rosmolbusiness.ru/contests/35868eb9-036d-4c8d-bb57-4bf19447695c</w:t>
        </w:r>
      </w:hyperlink>
      <w:r>
        <w:rPr>
          <w:sz w:val="30"/>
          <w:szCs w:val="30"/>
        </w:rPr>
        <w:t xml:space="preserve">; </w:t>
      </w:r>
      <w:r>
        <w:rPr>
          <w:sz w:val="30"/>
          <w:szCs w:val="30"/>
        </w:rPr>
      </w:r>
    </w:p>
    <w:p>
      <w:pPr>
        <w:pStyle w:val="714"/>
        <w:numPr>
          <w:ilvl w:val="0"/>
          <w:numId w:val="7"/>
        </w:numPr>
        <w:ind w:left="0" w:firstLine="709"/>
        <w:jc w:val="both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Ли</w:t>
      </w:r>
      <w:r>
        <w:rPr>
          <w:sz w:val="30"/>
          <w:szCs w:val="30"/>
        </w:rPr>
        <w:t xml:space="preserve">га «Начинающий предприниматель»:</w:t>
      </w:r>
      <w:r>
        <w:rPr>
          <w:sz w:val="30"/>
          <w:szCs w:val="30"/>
        </w:rPr>
        <w:t xml:space="preserve"> </w:t>
      </w:r>
      <w:hyperlink r:id="rId12" w:tooltip="https://rosmolbusiness.ru/events/d7e71bc1-1f74-48a7-9fea-443fbcd34104" w:history="1">
        <w:r>
          <w:rPr>
            <w:rStyle w:val="717"/>
            <w:sz w:val="30"/>
            <w:szCs w:val="30"/>
          </w:rPr>
          <w:t xml:space="preserve">https://rosmolbusiness.ru/events/d7e71bc1-1f74-48a7-9fea-443fbcd34104</w:t>
        </w:r>
      </w:hyperlink>
      <w:r>
        <w:rPr>
          <w:sz w:val="30"/>
          <w:szCs w:val="30"/>
        </w:rPr>
        <w:t xml:space="preserve">; </w:t>
      </w:r>
      <w:r>
        <w:rPr>
          <w:sz w:val="30"/>
          <w:szCs w:val="30"/>
        </w:rPr>
      </w:r>
    </w:p>
    <w:p>
      <w:pPr>
        <w:pStyle w:val="714"/>
        <w:numPr>
          <w:ilvl w:val="0"/>
          <w:numId w:val="7"/>
        </w:numPr>
        <w:ind w:left="0" w:firstLine="709"/>
        <w:jc w:val="both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Лига «Продвинутый предприниматель»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3" w:tooltip="https://rosmolbusiness.ru/contests/c7a2f291-fde2-4c2b-9660-5036c674c4be" w:history="1">
        <w:r>
          <w:rPr>
            <w:rStyle w:val="717"/>
            <w:sz w:val="28"/>
            <w:szCs w:val="28"/>
          </w:rPr>
          <w:t xml:space="preserve">https://rosmolbusiness.ru/contests/c7a2f291-fde2-4c2b-9660-5036c674c4be</w:t>
        </w:r>
      </w:hyperlink>
      <w:r>
        <w:rPr>
          <w:sz w:val="28"/>
          <w:szCs w:val="28"/>
        </w:rPr>
        <w:t xml:space="preserve">. </w:t>
      </w:r>
      <w:r>
        <w:rPr>
          <w:sz w:val="30"/>
          <w:szCs w:val="30"/>
        </w:rPr>
      </w:r>
    </w:p>
    <w:p>
      <w:pPr>
        <w:pStyle w:val="714"/>
        <w:ind w:left="709"/>
        <w:jc w:val="both"/>
        <w:spacing w:line="3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Менеджер проекта:</w:t>
      </w:r>
      <w:r>
        <w:rPr>
          <w:b/>
          <w:sz w:val="30"/>
          <w:szCs w:val="30"/>
        </w:rPr>
      </w:r>
    </w:p>
    <w:p>
      <w:pPr>
        <w:pStyle w:val="714"/>
        <w:ind w:left="0" w:firstLine="709"/>
        <w:jc w:val="both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 xml:space="preserve">Константин Жданов</w:t>
      </w:r>
      <w:r>
        <w:rPr>
          <w:sz w:val="30"/>
          <w:szCs w:val="30"/>
        </w:rPr>
        <w:t xml:space="preserve">, </w:t>
      </w:r>
      <w:hyperlink r:id="rId14" w:tooltip="mailto:kzhdanov@business.fadm.gov.ru" w:history="1">
        <w:r>
          <w:rPr>
            <w:rStyle w:val="717"/>
            <w:sz w:val="30"/>
            <w:szCs w:val="30"/>
          </w:rPr>
          <w:t xml:space="preserve">kzhdanov@business.fadm.gov.ru</w:t>
        </w:r>
      </w:hyperlink>
      <w:r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Телеграмм @</w:t>
      </w:r>
      <w:r>
        <w:rPr>
          <w:sz w:val="30"/>
          <w:szCs w:val="30"/>
        </w:rPr>
        <w:t xml:space="preserve">kZhDaNoV</w:t>
      </w:r>
      <w:r>
        <w:rPr>
          <w:sz w:val="30"/>
          <w:szCs w:val="30"/>
        </w:rPr>
        <w:t xml:space="preserve">, 8-916-123-43-76. </w:t>
      </w:r>
      <w:r>
        <w:rPr>
          <w:sz w:val="30"/>
          <w:szCs w:val="30"/>
        </w:rPr>
        <w:t xml:space="preserve"> </w:t>
      </w:r>
      <w:r>
        <w:t xml:space="preserve">  </w:t>
      </w:r>
      <w:r>
        <w:rPr>
          <w:sz w:val="30"/>
          <w:szCs w:val="3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right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823202" cy="630306"/>
              <wp:effectExtent l="0" t="0" r="5715" b="0"/>
              <wp:docPr id="1" name="Рисунок 1" descr="\\fadm\dfs\rpdprofiles\Mikhaylov\Downloads\Telegram Desktop\Group 1728279042 (2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fadm\dfs\rpdprofiles\Mikhaylov\Downloads\Telegram Desktop\Group 1728279042 (2)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44437" cy="6722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3.56pt;height:49.63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w:tab/>
    </w: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941168" cy="312431"/>
              <wp:effectExtent l="0" t="0" r="0" b="0"/>
              <wp:docPr id="2" name="Рисунок 2" descr="\\fadm\dfs\rpdprofiles\Mikhaylov\Downloads\Telegram Desktop\Group 1728279046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\\fadm\dfs\rpdprofiles\Mikhaylov\Downloads\Telegram Desktop\Group 1728279046 (1)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3431500" cy="364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31.59pt;height:24.6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0"/>
    <w:next w:val="7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0"/>
    <w:next w:val="7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0"/>
    <w:next w:val="7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0"/>
    <w:next w:val="7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0"/>
    <w:next w:val="7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0"/>
    <w:next w:val="7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0"/>
    <w:next w:val="7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0"/>
    <w:next w:val="7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0"/>
    <w:next w:val="7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0"/>
    <w:next w:val="7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1"/>
    <w:link w:val="34"/>
    <w:uiPriority w:val="10"/>
    <w:rPr>
      <w:sz w:val="48"/>
      <w:szCs w:val="48"/>
    </w:rPr>
  </w:style>
  <w:style w:type="paragraph" w:styleId="36">
    <w:name w:val="Subtitle"/>
    <w:basedOn w:val="710"/>
    <w:next w:val="7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1"/>
    <w:link w:val="36"/>
    <w:uiPriority w:val="11"/>
    <w:rPr>
      <w:sz w:val="24"/>
      <w:szCs w:val="24"/>
    </w:rPr>
  </w:style>
  <w:style w:type="paragraph" w:styleId="38">
    <w:name w:val="Quote"/>
    <w:basedOn w:val="710"/>
    <w:next w:val="7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0"/>
    <w:next w:val="7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1"/>
    <w:link w:val="719"/>
    <w:uiPriority w:val="99"/>
  </w:style>
  <w:style w:type="character" w:styleId="45">
    <w:name w:val="Footer Char"/>
    <w:basedOn w:val="711"/>
    <w:link w:val="721"/>
    <w:uiPriority w:val="99"/>
  </w:style>
  <w:style w:type="paragraph" w:styleId="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1"/>
    <w:uiPriority w:val="99"/>
  </w:style>
  <w:style w:type="table" w:styleId="48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1"/>
    <w:uiPriority w:val="99"/>
    <w:unhideWhenUsed/>
    <w:rPr>
      <w:vertAlign w:val="superscript"/>
    </w:rPr>
  </w:style>
  <w:style w:type="paragraph" w:styleId="178">
    <w:name w:val="endnote text"/>
    <w:basedOn w:val="7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1"/>
    <w:uiPriority w:val="99"/>
    <w:semiHidden/>
    <w:unhideWhenUsed/>
    <w:rPr>
      <w:vertAlign w:val="superscript"/>
    </w:rPr>
  </w:style>
  <w:style w:type="paragraph" w:styleId="181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  <w:pPr>
      <w:spacing w:after="200" w:line="276" w:lineRule="auto"/>
    </w:p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10"/>
    <w:link w:val="715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lang w:eastAsia="ru-RU"/>
    </w:rPr>
  </w:style>
  <w:style w:type="character" w:styleId="715" w:customStyle="1">
    <w:name w:val="Абзац списка Знак"/>
    <w:basedOn w:val="711"/>
    <w:link w:val="714"/>
    <w:qFormat/>
    <w:rPr>
      <w:rFonts w:ascii="Times New Roman" w:hAnsi="Times New Roman" w:eastAsia="Times New Roman" w:cs="Times New Roman"/>
      <w:lang w:eastAsia="ru-RU"/>
    </w:rPr>
  </w:style>
  <w:style w:type="character" w:styleId="716" w:customStyle="1">
    <w:name w:val="docdata"/>
    <w:basedOn w:val="711"/>
  </w:style>
  <w:style w:type="character" w:styleId="717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18">
    <w:name w:val="FollowedHyperlink"/>
    <w:basedOn w:val="711"/>
    <w:uiPriority w:val="99"/>
    <w:semiHidden/>
    <w:unhideWhenUsed/>
    <w:rPr>
      <w:color w:val="954f72" w:themeColor="followedHyperlink"/>
      <w:u w:val="single"/>
    </w:rPr>
  </w:style>
  <w:style w:type="paragraph" w:styleId="719">
    <w:name w:val="Header"/>
    <w:basedOn w:val="710"/>
    <w:link w:val="7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0" w:customStyle="1">
    <w:name w:val="Верхний колонтитул Знак"/>
    <w:basedOn w:val="711"/>
    <w:link w:val="719"/>
    <w:uiPriority w:val="99"/>
  </w:style>
  <w:style w:type="paragraph" w:styleId="721">
    <w:name w:val="Footer"/>
    <w:basedOn w:val="710"/>
    <w:link w:val="7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2" w:customStyle="1">
    <w:name w:val="Нижний колонтитул Знак"/>
    <w:basedOn w:val="711"/>
    <w:link w:val="721"/>
    <w:uiPriority w:val="99"/>
  </w:style>
  <w:style w:type="paragraph" w:styleId="723">
    <w:name w:val="Balloon Text"/>
    <w:basedOn w:val="710"/>
    <w:link w:val="7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4" w:customStyle="1">
    <w:name w:val="Текст выноски Знак"/>
    <w:basedOn w:val="711"/>
    <w:link w:val="7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rosmolbusiness.ru/events/d7e71bc1-1f74-48a7-9fea-443fbcd34104" TargetMode="External"/><Relationship Id="rId11" Type="http://schemas.openxmlformats.org/officeDocument/2006/relationships/hyperlink" Target="https://rosmolbusiness.ru/contests/35868eb9-036d-4c8d-bb57-4bf19447695c" TargetMode="External"/><Relationship Id="rId12" Type="http://schemas.openxmlformats.org/officeDocument/2006/relationships/hyperlink" Target="https://rosmolbusiness.ru/events/d7e71bc1-1f74-48a7-9fea-443fbcd34104" TargetMode="External"/><Relationship Id="rId13" Type="http://schemas.openxmlformats.org/officeDocument/2006/relationships/hyperlink" Target="https://rosmolbusiness.ru/contests/c7a2f291-fde2-4c2b-9660-5036c674c4be" TargetMode="External"/><Relationship Id="rId14" Type="http://schemas.openxmlformats.org/officeDocument/2006/relationships/hyperlink" Target="mailto:kzhdanov@business.fadm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Сергеевич</dc:creator>
  <cp:lastModifiedBy>Емельянова Юлия Сергеевна</cp:lastModifiedBy>
  <cp:revision>4</cp:revision>
  <dcterms:created xsi:type="dcterms:W3CDTF">2024-08-06T09:18:00Z</dcterms:created>
  <dcterms:modified xsi:type="dcterms:W3CDTF">2024-08-26T13:24:41Z</dcterms:modified>
</cp:coreProperties>
</file>